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D98B" w14:textId="77777777" w:rsidR="000F3432" w:rsidRDefault="00CF594C">
      <w:pPr>
        <w:rPr>
          <w:sz w:val="22"/>
          <w:szCs w:val="22"/>
        </w:rPr>
      </w:pPr>
      <w:r>
        <w:rPr>
          <w:sz w:val="22"/>
          <w:szCs w:val="22"/>
        </w:rPr>
        <w:t>Dear [Manager/Supervisor’s Name]:</w:t>
      </w:r>
    </w:p>
    <w:p w14:paraId="7ACEA606" w14:textId="77777777" w:rsidR="000F3432" w:rsidRDefault="000F3432">
      <w:pPr>
        <w:rPr>
          <w:sz w:val="22"/>
          <w:szCs w:val="22"/>
        </w:rPr>
      </w:pPr>
    </w:p>
    <w:p w14:paraId="64C4302F" w14:textId="77777777" w:rsidR="000F3432" w:rsidRDefault="00CF594C">
      <w:pPr>
        <w:rPr>
          <w:sz w:val="22"/>
          <w:szCs w:val="22"/>
        </w:rPr>
      </w:pPr>
      <w:r>
        <w:rPr>
          <w:sz w:val="22"/>
          <w:szCs w:val="22"/>
        </w:rPr>
        <w:t>The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Campus FM Technology Association (CFTA) Conference is </w:t>
      </w:r>
      <w:r>
        <w:rPr>
          <w:sz w:val="22"/>
          <w:szCs w:val="22"/>
        </w:rPr>
        <w:t>August 4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z w:val="22"/>
          <w:szCs w:val="22"/>
        </w:rPr>
        <w:t>Ogden, Utah</w:t>
      </w:r>
      <w:r>
        <w:rPr>
          <w:sz w:val="22"/>
          <w:szCs w:val="22"/>
        </w:rPr>
        <w:t>.  This event will feature four days of educational sessions and presentations from industry leading facilities management professionals, round-table discussions on critical issues affecting the deployment and maintenance of campus FM technologies and syst</w:t>
      </w:r>
      <w:r>
        <w:rPr>
          <w:sz w:val="22"/>
          <w:szCs w:val="22"/>
        </w:rPr>
        <w:t xml:space="preserve">ems, and campus tours of </w:t>
      </w:r>
      <w:r>
        <w:rPr>
          <w:sz w:val="22"/>
          <w:szCs w:val="22"/>
        </w:rPr>
        <w:t>Weber State University</w:t>
      </w:r>
      <w:r>
        <w:rPr>
          <w:sz w:val="22"/>
          <w:szCs w:val="22"/>
        </w:rPr>
        <w:t xml:space="preserve"> facilities.  I am writing to request approval to attend the CFTA Conference, as I believe doing so will further develop my technical skills while building knowledge around new campus FM technology innovations</w:t>
      </w:r>
      <w:r>
        <w:rPr>
          <w:sz w:val="22"/>
          <w:szCs w:val="22"/>
        </w:rPr>
        <w:t xml:space="preserve"> and shared best practices.</w:t>
      </w:r>
    </w:p>
    <w:p w14:paraId="55796C97" w14:textId="77777777" w:rsidR="000F3432" w:rsidRDefault="000F3432">
      <w:pPr>
        <w:rPr>
          <w:sz w:val="22"/>
          <w:szCs w:val="22"/>
        </w:rPr>
      </w:pPr>
    </w:p>
    <w:p w14:paraId="2E47BDD0" w14:textId="77777777" w:rsidR="000F3432" w:rsidRDefault="00CF594C">
      <w:pPr>
        <w:rPr>
          <w:sz w:val="22"/>
          <w:szCs w:val="22"/>
        </w:rPr>
      </w:pPr>
      <w:r>
        <w:rPr>
          <w:sz w:val="22"/>
          <w:szCs w:val="22"/>
        </w:rPr>
        <w:t>In attending this conference, I will receive:</w:t>
      </w:r>
    </w:p>
    <w:p w14:paraId="1149B00E" w14:textId="77777777" w:rsidR="000F3432" w:rsidRDefault="00CF5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One full day of pre-conference technical sessions on the latest FM technologies and trends led by world leaders in FM technologies</w:t>
      </w:r>
      <w:r>
        <w:rPr>
          <w:color w:val="000000"/>
          <w:sz w:val="22"/>
          <w:szCs w:val="22"/>
          <w:highlight w:val="white"/>
        </w:rPr>
        <w:t xml:space="preserve">. </w:t>
      </w:r>
      <w:r>
        <w:rPr>
          <w:sz w:val="22"/>
          <w:szCs w:val="22"/>
          <w:highlight w:val="white"/>
        </w:rPr>
        <w:t>(additional fee may apply)</w:t>
      </w:r>
    </w:p>
    <w:p w14:paraId="52F3B43E" w14:textId="77777777" w:rsidR="000F3432" w:rsidRDefault="00CF5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Over 20 breakout sessi</w:t>
      </w:r>
      <w:r>
        <w:rPr>
          <w:color w:val="000000"/>
          <w:sz w:val="22"/>
          <w:szCs w:val="22"/>
        </w:rPr>
        <w:t>ons led by universities and facilities management solutions innovators.  Topics include BIM, CAD, document management, GIS, integrated workplace management systems, national standards, new technologies, space information and management, system/data integra</w:t>
      </w:r>
      <w:r>
        <w:rPr>
          <w:color w:val="000000"/>
          <w:sz w:val="22"/>
          <w:szCs w:val="22"/>
        </w:rPr>
        <w:t>tion, utilities, and more.</w:t>
      </w:r>
    </w:p>
    <w:p w14:paraId="6A56A056" w14:textId="77777777" w:rsidR="000F3432" w:rsidRDefault="00CF5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Approximately 7 hours of networking (excluding meals and breaks).  Dedicated networking time promotes developing relationships and building contacts for future collaborations.</w:t>
      </w:r>
    </w:p>
    <w:p w14:paraId="18520013" w14:textId="77777777" w:rsidR="000F3432" w:rsidRDefault="00CF5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chance to stay abreast of the latest trends from </w:t>
      </w:r>
      <w:r>
        <w:rPr>
          <w:color w:val="000000"/>
          <w:sz w:val="22"/>
          <w:szCs w:val="22"/>
        </w:rPr>
        <w:t>industry leaders as well as learn first-hand about actual end-user experiences from seasoned practitioners.</w:t>
      </w:r>
    </w:p>
    <w:p w14:paraId="1CD9A3E8" w14:textId="77777777" w:rsidR="000F3432" w:rsidRDefault="00CF594C">
      <w:pPr>
        <w:rPr>
          <w:b/>
          <w:color w:val="366091"/>
        </w:rPr>
      </w:pPr>
      <w:r>
        <w:rPr>
          <w:b/>
          <w:color w:val="366091"/>
        </w:rPr>
        <w:t>Cost</w:t>
      </w:r>
    </w:p>
    <w:p w14:paraId="6471CE4D" w14:textId="77777777" w:rsidR="000F3432" w:rsidRDefault="000F3432">
      <w:pPr>
        <w:rPr>
          <w:sz w:val="22"/>
          <w:szCs w:val="22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6496"/>
        <w:gridCol w:w="2864"/>
      </w:tblGrid>
      <w:tr w:rsidR="000F3432" w14:paraId="2B531AE8" w14:textId="77777777">
        <w:trPr>
          <w:trHeight w:val="32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D0443B3" w14:textId="77777777" w:rsidR="000F3432" w:rsidRDefault="00CF59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Travel costs                                                                                       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7A6212A" w14:textId="77777777" w:rsidR="000F3432" w:rsidRDefault="00CF59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$XXX</w:t>
            </w:r>
          </w:p>
        </w:tc>
      </w:tr>
      <w:tr w:rsidR="000F3432" w14:paraId="2B6D5AA0" w14:textId="77777777">
        <w:trPr>
          <w:trHeight w:val="26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BF72C" w14:textId="77777777" w:rsidR="000F3432" w:rsidRDefault="00CF59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Accommodation (4 nights at $1</w:t>
            </w:r>
            <w:r>
              <w:rPr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/night)*                            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61200" w14:textId="77777777" w:rsidR="000F3432" w:rsidRDefault="00CF59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452</w:t>
            </w:r>
          </w:p>
        </w:tc>
      </w:tr>
      <w:tr w:rsidR="000F3432" w14:paraId="6DDA9DDB" w14:textId="77777777">
        <w:trPr>
          <w:trHeight w:val="36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D3A70B0" w14:textId="77777777" w:rsidR="000F3432" w:rsidRDefault="00CF59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Meals (5 days at $XXX)**                                                     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601CB21" w14:textId="77777777" w:rsidR="000F3432" w:rsidRDefault="00CF59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$XXX</w:t>
            </w:r>
          </w:p>
        </w:tc>
      </w:tr>
      <w:tr w:rsidR="000F3432" w14:paraId="5A5B2551" w14:textId="77777777">
        <w:trPr>
          <w:trHeight w:val="260"/>
        </w:trPr>
        <w:tc>
          <w:tcPr>
            <w:tcW w:w="64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E6D7D6" w14:textId="77777777" w:rsidR="000F3432" w:rsidRDefault="00CF59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Registration (for 3 days + pre-conference session)                                              </w:t>
            </w:r>
          </w:p>
        </w:tc>
        <w:tc>
          <w:tcPr>
            <w:tcW w:w="2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F3218F" w14:textId="77777777" w:rsidR="000F3432" w:rsidRDefault="00CF594C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$6</w:t>
            </w:r>
            <w:r>
              <w:rPr>
                <w:sz w:val="22"/>
                <w:szCs w:val="22"/>
                <w:highlight w:val="white"/>
              </w:rPr>
              <w:t>70</w:t>
            </w:r>
            <w:r>
              <w:rPr>
                <w:color w:val="000000"/>
                <w:sz w:val="22"/>
                <w:szCs w:val="22"/>
                <w:highlight w:val="white"/>
              </w:rPr>
              <w:t>-$</w:t>
            </w:r>
            <w:r>
              <w:rPr>
                <w:sz w:val="22"/>
                <w:szCs w:val="22"/>
                <w:highlight w:val="white"/>
              </w:rPr>
              <w:t>820</w:t>
            </w:r>
          </w:p>
        </w:tc>
      </w:tr>
      <w:tr w:rsidR="000F3432" w14:paraId="28FDCE76" w14:textId="77777777">
        <w:trPr>
          <w:trHeight w:val="360"/>
        </w:trPr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B3815E" w14:textId="77777777" w:rsidR="000F3432" w:rsidRDefault="00CF59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Transportation (</w:t>
            </w:r>
            <w:r>
              <w:rPr>
                <w:sz w:val="22"/>
                <w:szCs w:val="22"/>
              </w:rPr>
              <w:t>rideshare/taxi</w:t>
            </w:r>
            <w:r>
              <w:rPr>
                <w:color w:val="000000"/>
                <w:sz w:val="22"/>
                <w:szCs w:val="22"/>
              </w:rPr>
              <w:t xml:space="preserve"> ~$100 / rental car $200)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276F767" w14:textId="77777777" w:rsidR="000F3432" w:rsidRDefault="00CF594C">
            <w:pPr>
              <w:rPr>
                <w:color w:val="000000"/>
                <w:sz w:val="22"/>
                <w:szCs w:val="22"/>
                <w:shd w:val="clear" w:color="auto" w:fill="EFEFEF"/>
              </w:rPr>
            </w:pPr>
            <w:r>
              <w:rPr>
                <w:color w:val="000000"/>
                <w:sz w:val="22"/>
                <w:szCs w:val="22"/>
                <w:shd w:val="clear" w:color="auto" w:fill="EFEFEF"/>
              </w:rPr>
              <w:t>$100-$2</w:t>
            </w:r>
            <w:r>
              <w:rPr>
                <w:sz w:val="22"/>
                <w:szCs w:val="22"/>
                <w:shd w:val="clear" w:color="auto" w:fill="EFEFEF"/>
              </w:rPr>
              <w:t>50</w:t>
            </w:r>
          </w:p>
        </w:tc>
      </w:tr>
      <w:tr w:rsidR="000F3432" w14:paraId="74466799" w14:textId="77777777">
        <w:trPr>
          <w:trHeight w:val="260"/>
        </w:trPr>
        <w:tc>
          <w:tcPr>
            <w:tcW w:w="6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64682" w14:textId="77777777" w:rsidR="000F3432" w:rsidRDefault="00CF594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Total cost to attend:                                                                            </w:t>
            </w:r>
          </w:p>
        </w:tc>
        <w:tc>
          <w:tcPr>
            <w:tcW w:w="28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BB834" w14:textId="77777777" w:rsidR="000F3432" w:rsidRDefault="00CF594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$X,XXX</w:t>
            </w:r>
          </w:p>
        </w:tc>
      </w:tr>
    </w:tbl>
    <w:p w14:paraId="4C014813" w14:textId="77777777" w:rsidR="000F3432" w:rsidRDefault="000F3432">
      <w:pPr>
        <w:rPr>
          <w:sz w:val="22"/>
          <w:szCs w:val="22"/>
        </w:rPr>
      </w:pPr>
    </w:p>
    <w:p w14:paraId="6836E587" w14:textId="77777777" w:rsidR="000F3432" w:rsidRDefault="00CF594C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 *Hotel costs do not include applicable taxes.  This is a conference block negotiated hotel rate.</w:t>
      </w:r>
    </w:p>
    <w:p w14:paraId="1D106A13" w14:textId="77777777" w:rsidR="000F3432" w:rsidRDefault="00CF594C">
      <w:pPr>
        <w:ind w:left="720"/>
        <w:rPr>
          <w:i/>
          <w:sz w:val="22"/>
          <w:szCs w:val="22"/>
          <w:highlight w:val="white"/>
        </w:rPr>
      </w:pPr>
      <w:r>
        <w:rPr>
          <w:i/>
          <w:sz w:val="22"/>
          <w:szCs w:val="22"/>
        </w:rPr>
        <w:t>**Four breakfasts</w:t>
      </w:r>
      <w:r>
        <w:rPr>
          <w:i/>
          <w:sz w:val="22"/>
          <w:szCs w:val="22"/>
        </w:rPr>
        <w:t>, three</w:t>
      </w:r>
      <w:r>
        <w:rPr>
          <w:i/>
          <w:sz w:val="22"/>
          <w:szCs w:val="22"/>
        </w:rPr>
        <w:t xml:space="preserve"> lunches</w:t>
      </w:r>
      <w:r>
        <w:rPr>
          <w:i/>
          <w:sz w:val="22"/>
          <w:szCs w:val="22"/>
          <w:highlight w:val="white"/>
        </w:rPr>
        <w:t xml:space="preserve">, </w:t>
      </w:r>
      <w:r>
        <w:rPr>
          <w:i/>
          <w:sz w:val="22"/>
          <w:szCs w:val="22"/>
          <w:highlight w:val="white"/>
        </w:rPr>
        <w:t>one</w:t>
      </w:r>
      <w:r>
        <w:rPr>
          <w:i/>
          <w:sz w:val="22"/>
          <w:szCs w:val="22"/>
          <w:highlight w:val="white"/>
        </w:rPr>
        <w:t xml:space="preserve"> reception and </w:t>
      </w:r>
      <w:r>
        <w:rPr>
          <w:i/>
          <w:sz w:val="22"/>
          <w:szCs w:val="22"/>
          <w:highlight w:val="white"/>
        </w:rPr>
        <w:t xml:space="preserve">dinner provided. (Tuesday - Friday) </w:t>
      </w:r>
    </w:p>
    <w:p w14:paraId="19C22250" w14:textId="77777777" w:rsidR="000F3432" w:rsidRDefault="00CF594C">
      <w:pPr>
        <w:ind w:left="720"/>
        <w:rPr>
          <w:i/>
          <w:sz w:val="22"/>
          <w:szCs w:val="22"/>
          <w:highlight w:val="white"/>
        </w:rPr>
      </w:pPr>
      <w:r>
        <w:rPr>
          <w:i/>
          <w:sz w:val="22"/>
          <w:szCs w:val="22"/>
          <w:highlight w:val="white"/>
        </w:rPr>
        <w:t>***Registration rates vary by early</w:t>
      </w:r>
      <w:r>
        <w:rPr>
          <w:i/>
          <w:sz w:val="22"/>
          <w:szCs w:val="22"/>
          <w:highlight w:val="white"/>
        </w:rPr>
        <w:t xml:space="preserve">, </w:t>
      </w:r>
      <w:r>
        <w:rPr>
          <w:i/>
          <w:sz w:val="22"/>
          <w:szCs w:val="22"/>
          <w:highlight w:val="white"/>
        </w:rPr>
        <w:t>regular</w:t>
      </w:r>
      <w:r>
        <w:rPr>
          <w:i/>
          <w:sz w:val="22"/>
          <w:szCs w:val="22"/>
          <w:highlight w:val="white"/>
        </w:rPr>
        <w:t>,</w:t>
      </w:r>
      <w:r>
        <w:rPr>
          <w:i/>
          <w:sz w:val="22"/>
          <w:szCs w:val="22"/>
          <w:highlight w:val="white"/>
        </w:rPr>
        <w:t xml:space="preserve"> and late registration o</w:t>
      </w:r>
      <w:r>
        <w:rPr>
          <w:i/>
          <w:sz w:val="22"/>
          <w:szCs w:val="22"/>
          <w:highlight w:val="white"/>
        </w:rPr>
        <w:t>ptions.</w:t>
      </w:r>
    </w:p>
    <w:p w14:paraId="47AB0E82" w14:textId="77777777" w:rsidR="000F3432" w:rsidRDefault="000F3432">
      <w:pPr>
        <w:rPr>
          <w:sz w:val="22"/>
          <w:szCs w:val="22"/>
        </w:rPr>
      </w:pPr>
    </w:p>
    <w:p w14:paraId="08587AF4" w14:textId="77777777" w:rsidR="000F3432" w:rsidRDefault="00CF594C">
      <w:pPr>
        <w:rPr>
          <w:b/>
          <w:color w:val="366091"/>
        </w:rPr>
      </w:pPr>
      <w:r>
        <w:rPr>
          <w:b/>
          <w:color w:val="366091"/>
        </w:rPr>
        <w:t>Supporting Documentation</w:t>
      </w:r>
    </w:p>
    <w:p w14:paraId="4571A16E" w14:textId="77777777" w:rsidR="000F3432" w:rsidRDefault="000F3432">
      <w:pPr>
        <w:rPr>
          <w:sz w:val="22"/>
          <w:szCs w:val="22"/>
        </w:rPr>
      </w:pPr>
    </w:p>
    <w:p w14:paraId="334ADB0B" w14:textId="1A23DCA0" w:rsidR="000F3432" w:rsidRDefault="00CF594C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Attached you will find the </w:t>
      </w:r>
      <w:bookmarkStart w:id="1" w:name="_GoBack"/>
      <w:bookmarkEnd w:id="1"/>
      <w:r>
        <w:rPr>
          <w:sz w:val="22"/>
          <w:szCs w:val="22"/>
        </w:rPr>
        <w:t xml:space="preserve">general </w:t>
      </w:r>
      <w:r>
        <w:rPr>
          <w:sz w:val="22"/>
          <w:szCs w:val="22"/>
        </w:rPr>
        <w:t>agend</w:t>
      </w:r>
      <w:r>
        <w:rPr>
          <w:sz w:val="22"/>
          <w:szCs w:val="22"/>
          <w:highlight w:val="white"/>
        </w:rPr>
        <w:t>a</w:t>
      </w:r>
      <w:r>
        <w:rPr>
          <w:sz w:val="22"/>
          <w:szCs w:val="22"/>
          <w:highlight w:val="white"/>
        </w:rPr>
        <w:t xml:space="preserve">. </w:t>
      </w:r>
      <w:r>
        <w:rPr>
          <w:sz w:val="22"/>
          <w:szCs w:val="22"/>
        </w:rPr>
        <w:t xml:space="preserve"> The </w:t>
      </w:r>
      <w:r>
        <w:rPr>
          <w:sz w:val="22"/>
          <w:szCs w:val="22"/>
        </w:rPr>
        <w:t>final</w:t>
      </w:r>
      <w:r>
        <w:rPr>
          <w:sz w:val="22"/>
          <w:szCs w:val="22"/>
        </w:rPr>
        <w:t xml:space="preserve"> conference materials will be published in the spring.  </w:t>
      </w:r>
    </w:p>
    <w:p w14:paraId="59C205EB" w14:textId="77777777" w:rsidR="000F3432" w:rsidRDefault="000F3432">
      <w:pPr>
        <w:rPr>
          <w:sz w:val="22"/>
          <w:szCs w:val="22"/>
        </w:rPr>
      </w:pPr>
    </w:p>
    <w:p w14:paraId="0369E8CF" w14:textId="77777777" w:rsidR="000F3432" w:rsidRDefault="00CF594C">
      <w:pPr>
        <w:rPr>
          <w:sz w:val="22"/>
          <w:szCs w:val="22"/>
        </w:rPr>
      </w:pPr>
      <w:r>
        <w:rPr>
          <w:sz w:val="22"/>
          <w:szCs w:val="22"/>
        </w:rPr>
        <w:t>I hope you agree that the CFTA Conference is a good investment of time and resources that will benefit our department and institution as a whole.  Thank you for considering this request.</w:t>
      </w:r>
    </w:p>
    <w:p w14:paraId="1114F7E9" w14:textId="77777777" w:rsidR="000F3432" w:rsidRDefault="000F3432">
      <w:pPr>
        <w:rPr>
          <w:sz w:val="22"/>
          <w:szCs w:val="22"/>
        </w:rPr>
      </w:pPr>
    </w:p>
    <w:p w14:paraId="6C776DA6" w14:textId="77777777" w:rsidR="000F3432" w:rsidRDefault="00CF594C">
      <w:pPr>
        <w:rPr>
          <w:sz w:val="22"/>
          <w:szCs w:val="22"/>
        </w:rPr>
      </w:pPr>
      <w:r>
        <w:rPr>
          <w:sz w:val="22"/>
          <w:szCs w:val="22"/>
        </w:rPr>
        <w:t>[your name here]</w:t>
      </w:r>
    </w:p>
    <w:sectPr w:rsidR="000F3432">
      <w:headerReference w:type="even" r:id="rId7"/>
      <w:footerReference w:type="even" r:id="rId8"/>
      <w:footerReference w:type="default" r:id="rId9"/>
      <w:footerReference w:type="first" r:id="rId10"/>
      <w:pgSz w:w="12240" w:h="15840"/>
      <w:pgMar w:top="1080" w:right="1440" w:bottom="144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2CD7" w14:textId="77777777" w:rsidR="00CF594C" w:rsidRDefault="00CF594C">
      <w:r>
        <w:separator/>
      </w:r>
    </w:p>
  </w:endnote>
  <w:endnote w:type="continuationSeparator" w:id="0">
    <w:p w14:paraId="4BF9CBB0" w14:textId="77777777" w:rsidR="00CF594C" w:rsidRDefault="00C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CCCD" w14:textId="77777777" w:rsidR="000F3432" w:rsidRDefault="00CF594C">
    <w:r>
      <w:fldChar w:fldCharType="begin"/>
    </w:r>
    <w:r>
      <w:instrText>PAGE</w:instrText>
    </w:r>
    <w:r>
      <w:fldChar w:fldCharType="end"/>
    </w:r>
  </w:p>
  <w:p w14:paraId="0AABB98E" w14:textId="77777777" w:rsidR="000F3432" w:rsidRDefault="000F34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8549" w14:textId="77777777" w:rsidR="000F3432" w:rsidRDefault="00CF594C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EA053CE" wp14:editId="57BBCD51">
              <wp:simplePos x="0" y="0"/>
              <wp:positionH relativeFrom="column">
                <wp:posOffset>6731000</wp:posOffset>
              </wp:positionH>
              <wp:positionV relativeFrom="paragraph">
                <wp:posOffset>165100</wp:posOffset>
              </wp:positionV>
              <wp:extent cx="531923" cy="22921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4801" y="3670153"/>
                        <a:ext cx="522398" cy="2196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6004E" w14:textId="77777777" w:rsidR="000F3432" w:rsidRDefault="00CF59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6731000</wp:posOffset>
              </wp:positionH>
              <wp:positionV relativeFrom="paragraph">
                <wp:posOffset>165100</wp:posOffset>
              </wp:positionV>
              <wp:extent cx="531923" cy="22921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1923" cy="2292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DF3B" w14:textId="77777777" w:rsidR="000F3432" w:rsidRDefault="00CF59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1"/>
        <w:szCs w:val="21"/>
      </w:rPr>
    </w:pPr>
    <w:r>
      <w:rPr>
        <w:rFonts w:ascii="Cambria" w:eastAsia="Cambria" w:hAnsi="Cambria" w:cs="Cambria"/>
        <w:color w:val="000000"/>
        <w:sz w:val="21"/>
        <w:szCs w:val="21"/>
      </w:rPr>
      <w:tab/>
    </w:r>
    <w:r>
      <w:rPr>
        <w:rFonts w:ascii="Cambria" w:eastAsia="Cambria" w:hAnsi="Cambria" w:cs="Cambria"/>
        <w:color w:val="000000"/>
        <w:sz w:val="21"/>
        <w:szCs w:val="21"/>
      </w:rPr>
      <w:tab/>
    </w:r>
    <w:r>
      <w:rPr>
        <w:color w:val="000000"/>
        <w:sz w:val="21"/>
        <w:szCs w:val="21"/>
      </w:rPr>
      <w:t>January 2, 20</w:t>
    </w:r>
    <w:r>
      <w:rPr>
        <w:sz w:val="21"/>
        <w:szCs w:val="21"/>
      </w:rPr>
      <w:t>20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AC08134" wp14:editId="26298D7F">
          <wp:simplePos x="0" y="0"/>
          <wp:positionH relativeFrom="column">
            <wp:posOffset>1</wp:posOffset>
          </wp:positionH>
          <wp:positionV relativeFrom="paragraph">
            <wp:posOffset>-389889</wp:posOffset>
          </wp:positionV>
          <wp:extent cx="1285240" cy="61849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DD34" w14:textId="77777777" w:rsidR="00CF594C" w:rsidRDefault="00CF594C">
      <w:r>
        <w:separator/>
      </w:r>
    </w:p>
  </w:footnote>
  <w:footnote w:type="continuationSeparator" w:id="0">
    <w:p w14:paraId="39EFB680" w14:textId="77777777" w:rsidR="00CF594C" w:rsidRDefault="00CF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DAE3" w14:textId="77777777" w:rsidR="000F3432" w:rsidRDefault="00CF594C">
    <w:r>
      <w:t>[Type text][Type text][Type text]</w:t>
    </w:r>
  </w:p>
  <w:p w14:paraId="081C3CE4" w14:textId="77777777" w:rsidR="000F3432" w:rsidRDefault="000F3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EAA"/>
    <w:multiLevelType w:val="multilevel"/>
    <w:tmpl w:val="C8D2A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32"/>
    <w:rsid w:val="000F3432"/>
    <w:rsid w:val="0036069E"/>
    <w:rsid w:val="00C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6B70"/>
  <w15:docId w15:val="{D300C9C1-FFD7-4D81-B584-71A79106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Verdana" w:eastAsia="Verdana" w:hAnsi="Verdana" w:cs="Verdana"/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Verdana" w:eastAsia="Verdana" w:hAnsi="Verdana" w:cs="Verdana"/>
      <w:b/>
      <w:small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Burgoon</cp:lastModifiedBy>
  <cp:revision>2</cp:revision>
  <dcterms:created xsi:type="dcterms:W3CDTF">2019-12-17T18:38:00Z</dcterms:created>
  <dcterms:modified xsi:type="dcterms:W3CDTF">2019-12-17T18:38:00Z</dcterms:modified>
</cp:coreProperties>
</file>